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9502F" w14:textId="43E99E94" w:rsidR="005A272D" w:rsidRPr="005A272D" w:rsidRDefault="005A272D" w:rsidP="005A272D">
      <w:pPr>
        <w:jc w:val="center"/>
        <w:rPr>
          <w:b/>
          <w:bCs/>
          <w:i/>
          <w:iCs/>
        </w:rPr>
      </w:pPr>
      <w:r w:rsidRPr="005A272D">
        <w:rPr>
          <w:b/>
          <w:bCs/>
          <w:i/>
          <w:iCs/>
        </w:rPr>
        <w:t>“(Why Don’t You) Hit Me With Your Best Shots?”</w:t>
      </w:r>
      <w:r>
        <w:rPr>
          <w:b/>
          <w:bCs/>
          <w:i/>
          <w:iCs/>
        </w:rPr>
        <w:t xml:space="preserve"> (2CEs)</w:t>
      </w:r>
    </w:p>
    <w:p w14:paraId="6C68C751" w14:textId="2BC2AF3C" w:rsidR="00400B98" w:rsidRDefault="005A272D" w:rsidP="005A272D">
      <w:pPr>
        <w:jc w:val="center"/>
        <w:rPr>
          <w:b/>
          <w:bCs/>
          <w:i/>
          <w:iCs/>
        </w:rPr>
      </w:pPr>
      <w:r w:rsidRPr="005A272D">
        <w:rPr>
          <w:b/>
          <w:bCs/>
          <w:i/>
          <w:iCs/>
        </w:rPr>
        <w:t>Mastering the Science &amp; Safety of Dental Local Anesthetic Agents</w:t>
      </w:r>
    </w:p>
    <w:p w14:paraId="56DF02B8" w14:textId="6550C71D" w:rsidR="005A272D" w:rsidRDefault="005A272D" w:rsidP="005A272D">
      <w:pPr>
        <w:jc w:val="center"/>
      </w:pPr>
      <w:r>
        <w:t>Tom Viola, RPh, CCP</w:t>
      </w:r>
    </w:p>
    <w:p w14:paraId="56963504" w14:textId="512C333D" w:rsidR="005A272D" w:rsidRDefault="005A272D" w:rsidP="005A272D">
      <w:pPr>
        <w:rPr>
          <w:i/>
          <w:iCs/>
        </w:rPr>
      </w:pPr>
      <w:r w:rsidRPr="005A272D">
        <w:rPr>
          <w:i/>
          <w:iCs/>
        </w:rPr>
        <w:t>*This course meets the NCSBDE requirements for your 2CE hours on local anesthetics</w:t>
      </w:r>
    </w:p>
    <w:p w14:paraId="2194919A" w14:textId="3741393A" w:rsidR="005A272D" w:rsidRDefault="001130A7" w:rsidP="005A272D">
      <w:r w:rsidRPr="001130A7">
        <w:rPr>
          <w:b/>
          <w:bCs/>
        </w:rPr>
        <w:t>Learning Objectives:</w:t>
      </w:r>
      <w:r>
        <w:t xml:space="preserve"> Upon completion of this course, attendees will be able to : 1) explain the mechanism of action of local anesthetic agents and the real reasons for anesthesia failures, 2) differentiate between the two major classes of local anesthetic agents with respect to their metabolism, adverse effects, drug interactions, and contraindications, 3) discuss the rationale for the use of vasoconstrictors in local anesthetic solutions and their potential effects in common organ system disease states, and 4) specify the various local anesthetic agent combinations most commonly used in dentistry and the rationale for their use in specific clinical situations. </w:t>
      </w:r>
    </w:p>
    <w:p w14:paraId="06FF2F5E" w14:textId="131D3A38" w:rsidR="005A272D" w:rsidRDefault="001130A7" w:rsidP="005A272D">
      <w:r w:rsidRPr="001130A7">
        <w:rPr>
          <w:b/>
          <w:bCs/>
        </w:rPr>
        <w:t>Course Description:</w:t>
      </w:r>
      <w:r>
        <w:t xml:space="preserve"> </w:t>
      </w:r>
      <w:r w:rsidR="005A272D">
        <w:t xml:space="preserve">Local anesthesia is foundation to pain control in dentistry, but its effective and safe use requires more than just technical skill. It demands a deep understanding of pharmacology, patient-specific considerations, and evolving clinical protocols. </w:t>
      </w:r>
    </w:p>
    <w:p w14:paraId="2A23E411" w14:textId="1ED879EA" w:rsidR="001130A7" w:rsidRDefault="001130A7" w:rsidP="005A272D">
      <w:r>
        <w:t xml:space="preserve">This course provides an in-depth review of local anesthetics used in dental practice, including mechanism of action, dosage guidelines, pharmacokinetics, contraindications, and potential complications. </w:t>
      </w:r>
    </w:p>
    <w:p w14:paraId="668F512B" w14:textId="143DF065" w:rsidR="001130A7" w:rsidRDefault="001130A7" w:rsidP="005A272D">
      <w:r>
        <w:t xml:space="preserve">Special attention is given to patient specific modifications, drug interactions, management of adverse reactions, and current best practices. Ideal for both dentists and dental hygienists. This course bridges science, pharmacology and therapeutics to enhance patient safety, comfort, and outcomes. </w:t>
      </w:r>
    </w:p>
    <w:p w14:paraId="702F2182" w14:textId="2D16FFEF" w:rsidR="001130A7" w:rsidRDefault="001130A7" w:rsidP="005A272D">
      <w:r w:rsidRPr="001130A7">
        <w:rPr>
          <w:b/>
          <w:bCs/>
        </w:rPr>
        <w:t>Target Audience</w:t>
      </w:r>
      <w:r>
        <w:t>: Dentists, dental hygienists, and dental assistants</w:t>
      </w:r>
    </w:p>
    <w:p w14:paraId="57DFBEBD" w14:textId="236D7840" w:rsidR="001130A7" w:rsidRDefault="001130A7" w:rsidP="005A272D">
      <w:pPr>
        <w:rPr>
          <w:b/>
          <w:bCs/>
        </w:rPr>
      </w:pPr>
      <w:r w:rsidRPr="00FB7A36">
        <w:rPr>
          <w:b/>
          <w:bCs/>
        </w:rPr>
        <w:t>AGD Subject Code:</w:t>
      </w:r>
      <w:r w:rsidR="00FB7A36">
        <w:rPr>
          <w:b/>
          <w:bCs/>
        </w:rPr>
        <w:t xml:space="preserve"> 340</w:t>
      </w:r>
    </w:p>
    <w:p w14:paraId="7DEB0464" w14:textId="0EBC2860" w:rsidR="00C4374A" w:rsidRDefault="00FB7A36" w:rsidP="00C4374A">
      <w:pPr>
        <w:rPr>
          <w:b/>
          <w:bCs/>
        </w:rPr>
      </w:pPr>
      <w:r>
        <w:rPr>
          <w:b/>
          <w:bCs/>
        </w:rPr>
        <w:t>Total CEs Awarded: 2 CEs</w:t>
      </w:r>
    </w:p>
    <w:p w14:paraId="694DB661" w14:textId="77777777" w:rsidR="00C4374A" w:rsidRDefault="00C4374A" w:rsidP="00C4374A">
      <w:pPr>
        <w:rPr>
          <w:b/>
          <w:bCs/>
        </w:rPr>
      </w:pPr>
    </w:p>
    <w:p w14:paraId="5CDFE4E2" w14:textId="77777777" w:rsidR="00C4374A" w:rsidRDefault="00C4374A" w:rsidP="00C4374A">
      <w:pPr>
        <w:rPr>
          <w:b/>
          <w:bCs/>
        </w:rPr>
      </w:pPr>
    </w:p>
    <w:p w14:paraId="40234F2F" w14:textId="77777777" w:rsidR="00C4374A" w:rsidRDefault="00C4374A" w:rsidP="00C4374A">
      <w:pPr>
        <w:rPr>
          <w:b/>
          <w:bCs/>
        </w:rPr>
      </w:pPr>
    </w:p>
    <w:p w14:paraId="447E6FF9" w14:textId="77777777" w:rsidR="00C4374A" w:rsidRDefault="00C4374A" w:rsidP="00C4374A">
      <w:pPr>
        <w:rPr>
          <w:b/>
          <w:bCs/>
        </w:rPr>
      </w:pPr>
    </w:p>
    <w:p w14:paraId="5C7B38AA" w14:textId="77777777" w:rsidR="00C4374A" w:rsidRDefault="00C4374A" w:rsidP="00C4374A">
      <w:pPr>
        <w:rPr>
          <w:b/>
          <w:bCs/>
        </w:rPr>
      </w:pPr>
    </w:p>
    <w:p w14:paraId="4FE56CEC" w14:textId="5420DEE4" w:rsidR="00C4374A" w:rsidRPr="00C4374A" w:rsidRDefault="00C4374A" w:rsidP="00C4374A">
      <w:pPr>
        <w:jc w:val="center"/>
        <w:rPr>
          <w:b/>
          <w:bCs/>
        </w:rPr>
      </w:pPr>
      <w:r>
        <w:rPr>
          <w:b/>
          <w:bCs/>
        </w:rPr>
        <w:lastRenderedPageBreak/>
        <w:t>Disclosures – CE Approvals</w:t>
      </w:r>
    </w:p>
    <w:p w14:paraId="3C1462D2" w14:textId="77777777" w:rsidR="00C4374A" w:rsidRPr="00C4374A" w:rsidRDefault="00C4374A" w:rsidP="00C4374A">
      <w:pPr>
        <w:spacing w:after="0" w:line="360" w:lineRule="atLeast"/>
        <w:textAlignment w:val="baseline"/>
        <w:rPr>
          <w:rFonts w:ascii="Arial" w:eastAsia="Times New Roman" w:hAnsi="Arial" w:cs="Arial"/>
          <w:color w:val="29394A"/>
          <w:kern w:val="0"/>
          <w:sz w:val="18"/>
          <w:szCs w:val="18"/>
          <w14:ligatures w14:val="none"/>
        </w:rPr>
      </w:pPr>
      <w:r w:rsidRPr="00C4374A">
        <w:rPr>
          <w:rFonts w:ascii="Arial" w:eastAsia="Times New Roman" w:hAnsi="Arial" w:cs="Arial"/>
          <w:color w:val="29394A"/>
          <w:kern w:val="0"/>
          <w:sz w:val="18"/>
          <w:szCs w:val="18"/>
          <w14:ligatures w14:val="none"/>
        </w:rPr>
        <w:t>ADA CERP is a service of the American Dental Association to assist dental professionals in identifying quality providers of continuing dental education. ADA CERP does not approve or endorse individual courses or instructors, nor does it imply acceptance of credit house by boards of dentistry.</w:t>
      </w:r>
    </w:p>
    <w:p w14:paraId="751FDABE" w14:textId="77777777" w:rsidR="00C4374A" w:rsidRPr="00C4374A" w:rsidRDefault="00C4374A" w:rsidP="00C4374A">
      <w:pPr>
        <w:spacing w:after="0" w:line="240" w:lineRule="auto"/>
        <w:textAlignment w:val="baseline"/>
        <w:rPr>
          <w:rFonts w:ascii="Helvetica" w:eastAsia="Times New Roman" w:hAnsi="Helvetica" w:cs="Helvetica"/>
          <w:color w:val="333333"/>
          <w:kern w:val="0"/>
          <w14:ligatures w14:val="none"/>
        </w:rPr>
      </w:pPr>
      <w:r w:rsidRPr="00C4374A">
        <w:rPr>
          <w:rFonts w:ascii="Helvetica" w:eastAsia="Times New Roman" w:hAnsi="Helvetica" w:cs="Helvetica"/>
          <w:noProof/>
          <w:color w:val="333333"/>
          <w:kern w:val="0"/>
          <w14:ligatures w14:val="none"/>
        </w:rPr>
        <w:drawing>
          <wp:inline distT="0" distB="0" distL="0" distR="0" wp14:anchorId="7ECC5C63" wp14:editId="01014458">
            <wp:extent cx="2857500" cy="857250"/>
            <wp:effectExtent l="0" t="0" r="0" b="0"/>
            <wp:docPr id="1" name="Picture 2" descr="ADA CER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A CERP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857250"/>
                    </a:xfrm>
                    <a:prstGeom prst="rect">
                      <a:avLst/>
                    </a:prstGeom>
                    <a:noFill/>
                    <a:ln>
                      <a:noFill/>
                    </a:ln>
                  </pic:spPr>
                </pic:pic>
              </a:graphicData>
            </a:graphic>
          </wp:inline>
        </w:drawing>
      </w:r>
    </w:p>
    <w:p w14:paraId="62179DA9" w14:textId="77777777" w:rsidR="00C4374A" w:rsidRPr="00C4374A" w:rsidRDefault="00C4374A" w:rsidP="00C4374A">
      <w:pPr>
        <w:spacing w:after="0" w:line="360" w:lineRule="atLeast"/>
        <w:textAlignment w:val="baseline"/>
        <w:rPr>
          <w:rFonts w:ascii="Arial" w:eastAsia="Times New Roman" w:hAnsi="Arial" w:cs="Arial"/>
          <w:color w:val="29394A"/>
          <w:kern w:val="0"/>
          <w:sz w:val="18"/>
          <w:szCs w:val="18"/>
          <w14:ligatures w14:val="none"/>
        </w:rPr>
      </w:pPr>
      <w:r w:rsidRPr="00C4374A">
        <w:rPr>
          <w:rFonts w:ascii="Arial" w:eastAsia="Times New Roman" w:hAnsi="Arial" w:cs="Arial"/>
          <w:color w:val="29394A"/>
          <w:kern w:val="0"/>
          <w:sz w:val="18"/>
          <w:szCs w:val="18"/>
          <w14:ligatures w14:val="none"/>
        </w:rPr>
        <w:t>Concerns or complaints about a CE provider may be directed to the provider or to ADA CERP at </w:t>
      </w:r>
      <w:hyperlink r:id="rId6" w:tgtFrame="_blank" w:tooltip="ADA.org/goto/cerp" w:history="1">
        <w:r w:rsidRPr="00C4374A">
          <w:rPr>
            <w:rFonts w:ascii="Arial" w:eastAsia="Times New Roman" w:hAnsi="Arial" w:cs="Arial"/>
            <w:color w:val="0000FF"/>
            <w:kern w:val="0"/>
            <w:sz w:val="18"/>
            <w:szCs w:val="18"/>
            <w:bdr w:val="none" w:sz="0" w:space="0" w:color="auto" w:frame="1"/>
            <w14:ligatures w14:val="none"/>
          </w:rPr>
          <w:t>ADA.org/goto/cerp.</w:t>
        </w:r>
      </w:hyperlink>
    </w:p>
    <w:p w14:paraId="3F08594D" w14:textId="77777777" w:rsidR="00C4374A" w:rsidRPr="00C4374A" w:rsidRDefault="00C4374A" w:rsidP="00C4374A">
      <w:pPr>
        <w:spacing w:after="0" w:line="360" w:lineRule="atLeast"/>
        <w:textAlignment w:val="baseline"/>
        <w:rPr>
          <w:rFonts w:ascii="Arial" w:eastAsia="Times New Roman" w:hAnsi="Arial" w:cs="Arial"/>
          <w:color w:val="29394A"/>
          <w:kern w:val="0"/>
          <w:sz w:val="18"/>
          <w:szCs w:val="18"/>
          <w14:ligatures w14:val="none"/>
        </w:rPr>
      </w:pPr>
      <w:r w:rsidRPr="00C4374A">
        <w:rPr>
          <w:rFonts w:ascii="Arial" w:eastAsia="Times New Roman" w:hAnsi="Arial" w:cs="Arial"/>
          <w:color w:val="29394A"/>
          <w:kern w:val="0"/>
          <w:sz w:val="18"/>
          <w:szCs w:val="18"/>
          <w14:ligatures w14:val="none"/>
        </w:rPr>
        <w:t>More information about the American Dental Association can be found at </w:t>
      </w:r>
      <w:hyperlink r:id="rId7" w:tgtFrame="_blank" w:tooltip="ADA.org" w:history="1">
        <w:r w:rsidRPr="00C4374A">
          <w:rPr>
            <w:rFonts w:ascii="Arial" w:eastAsia="Times New Roman" w:hAnsi="Arial" w:cs="Arial"/>
            <w:color w:val="0000FF"/>
            <w:kern w:val="0"/>
            <w:sz w:val="18"/>
            <w:szCs w:val="18"/>
            <w:bdr w:val="none" w:sz="0" w:space="0" w:color="auto" w:frame="1"/>
            <w14:ligatures w14:val="none"/>
          </w:rPr>
          <w:t>ada.org.</w:t>
        </w:r>
      </w:hyperlink>
    </w:p>
    <w:p w14:paraId="3E56B0F2" w14:textId="6E838F61" w:rsidR="00C4374A" w:rsidRPr="00C4374A" w:rsidRDefault="00C4374A" w:rsidP="00C4374A">
      <w:pPr>
        <w:spacing w:after="0" w:line="360" w:lineRule="atLeast"/>
        <w:textAlignment w:val="baseline"/>
        <w:rPr>
          <w:rFonts w:ascii="Arial" w:eastAsia="Times New Roman" w:hAnsi="Arial" w:cs="Arial"/>
          <w:color w:val="29394A"/>
          <w:kern w:val="0"/>
          <w:sz w:val="18"/>
          <w:szCs w:val="18"/>
          <w14:ligatures w14:val="none"/>
        </w:rPr>
      </w:pPr>
      <w:r w:rsidRPr="00C4374A">
        <w:rPr>
          <w:rFonts w:ascii="Arial" w:eastAsia="Times New Roman" w:hAnsi="Arial" w:cs="Arial"/>
          <w:color w:val="29394A"/>
          <w:kern w:val="0"/>
          <w:sz w:val="18"/>
          <w:szCs w:val="18"/>
          <w14:ligatures w14:val="none"/>
        </w:rPr>
        <w:t>The following are ADA CERP recognized pro</w:t>
      </w:r>
      <w:r>
        <w:rPr>
          <w:rFonts w:ascii="Arial" w:eastAsia="Times New Roman" w:hAnsi="Arial" w:cs="Arial"/>
          <w:color w:val="29394A"/>
          <w:kern w:val="0"/>
          <w:sz w:val="18"/>
          <w:szCs w:val="18"/>
          <w14:ligatures w14:val="none"/>
        </w:rPr>
        <w:t>viders:</w:t>
      </w:r>
    </w:p>
    <w:p w14:paraId="06ABC9AC" w14:textId="42148E47" w:rsidR="00C4374A" w:rsidRPr="00C4374A" w:rsidRDefault="00C4374A" w:rsidP="00C4374A">
      <w:pPr>
        <w:numPr>
          <w:ilvl w:val="0"/>
          <w:numId w:val="1"/>
        </w:numPr>
        <w:spacing w:after="120" w:line="360" w:lineRule="atLeast"/>
        <w:rPr>
          <w:rFonts w:ascii="Arial" w:eastAsia="Times New Roman" w:hAnsi="Arial" w:cs="Arial"/>
          <w:color w:val="29394A"/>
          <w:kern w:val="0"/>
          <w:sz w:val="18"/>
          <w:szCs w:val="18"/>
          <w14:ligatures w14:val="none"/>
        </w:rPr>
      </w:pPr>
      <w:r>
        <w:rPr>
          <w:rFonts w:ascii="Arial" w:eastAsia="Times New Roman" w:hAnsi="Arial" w:cs="Arial"/>
          <w:color w:val="29394A"/>
          <w:kern w:val="0"/>
          <w:sz w:val="18"/>
          <w:szCs w:val="18"/>
          <w14:ligatures w14:val="none"/>
        </w:rPr>
        <w:t>Athena Dental Solutions, LLC</w:t>
      </w:r>
      <w:r w:rsidRPr="00C4374A">
        <w:rPr>
          <w:rFonts w:ascii="Arial" w:eastAsia="Times New Roman" w:hAnsi="Arial" w:cs="Arial"/>
          <w:color w:val="29394A"/>
          <w:kern w:val="0"/>
          <w:sz w:val="18"/>
          <w:szCs w:val="18"/>
          <w14:ligatures w14:val="none"/>
        </w:rPr>
        <w:t xml:space="preserve"> is an ADA CERP Recognized Provider.</w:t>
      </w:r>
    </w:p>
    <w:p w14:paraId="07647260" w14:textId="60698D3C" w:rsidR="00C4374A" w:rsidRPr="00C4374A" w:rsidRDefault="00C4374A" w:rsidP="00C4374A">
      <w:pPr>
        <w:spacing w:after="0" w:line="360" w:lineRule="atLeast"/>
        <w:textAlignment w:val="baseline"/>
        <w:rPr>
          <w:rFonts w:ascii="Arial" w:eastAsia="Times New Roman" w:hAnsi="Arial" w:cs="Arial"/>
          <w:color w:val="29394A"/>
          <w:kern w:val="0"/>
          <w:sz w:val="18"/>
          <w:szCs w:val="18"/>
          <w14:ligatures w14:val="none"/>
        </w:rPr>
      </w:pPr>
      <w:r>
        <w:rPr>
          <w:rFonts w:ascii="Arial" w:eastAsia="Times New Roman" w:hAnsi="Arial" w:cs="Arial"/>
          <w:color w:val="29394A"/>
          <w:kern w:val="0"/>
          <w:sz w:val="18"/>
          <w:szCs w:val="18"/>
          <w14:ligatures w14:val="none"/>
        </w:rPr>
        <w:t xml:space="preserve">Athena Dental Solutions,LLC </w:t>
      </w:r>
      <w:r w:rsidRPr="00C4374A">
        <w:rPr>
          <w:rFonts w:ascii="Arial" w:eastAsia="Times New Roman" w:hAnsi="Arial" w:cs="Arial"/>
          <w:color w:val="29394A"/>
          <w:kern w:val="0"/>
          <w:sz w:val="18"/>
          <w:szCs w:val="18"/>
          <w14:ligatures w14:val="none"/>
        </w:rPr>
        <w:t xml:space="preserve"> is designated as Approved PACE Program Provider by the Academy of General Dentistry. The formal continuing education programs of this program provider is accepted by the AGD for Fellowship/Mastership and membership maintenance credit. Approval does not imply acceptance by a state or provincial board of dentistry or AGD endorsement. The current term of approval extends from </w:t>
      </w:r>
      <w:r>
        <w:rPr>
          <w:rFonts w:ascii="Arial" w:eastAsia="Times New Roman" w:hAnsi="Arial" w:cs="Arial"/>
          <w:color w:val="29394A"/>
          <w:kern w:val="0"/>
          <w:sz w:val="18"/>
          <w:szCs w:val="18"/>
          <w14:ligatures w14:val="none"/>
        </w:rPr>
        <w:t>5</w:t>
      </w:r>
      <w:r w:rsidRPr="00C4374A">
        <w:rPr>
          <w:rFonts w:ascii="Arial" w:eastAsia="Times New Roman" w:hAnsi="Arial" w:cs="Arial"/>
          <w:color w:val="29394A"/>
          <w:kern w:val="0"/>
          <w:sz w:val="18"/>
          <w:szCs w:val="18"/>
          <w14:ligatures w14:val="none"/>
        </w:rPr>
        <w:t>/1/202</w:t>
      </w:r>
      <w:r>
        <w:rPr>
          <w:rFonts w:ascii="Arial" w:eastAsia="Times New Roman" w:hAnsi="Arial" w:cs="Arial"/>
          <w:color w:val="29394A"/>
          <w:kern w:val="0"/>
          <w:sz w:val="18"/>
          <w:szCs w:val="18"/>
          <w14:ligatures w14:val="none"/>
        </w:rPr>
        <w:t>6</w:t>
      </w:r>
      <w:r w:rsidRPr="00C4374A">
        <w:rPr>
          <w:rFonts w:ascii="Arial" w:eastAsia="Times New Roman" w:hAnsi="Arial" w:cs="Arial"/>
          <w:color w:val="29394A"/>
          <w:kern w:val="0"/>
          <w:sz w:val="18"/>
          <w:szCs w:val="18"/>
          <w14:ligatures w14:val="none"/>
        </w:rPr>
        <w:t xml:space="preserve"> to 12/31/20</w:t>
      </w:r>
      <w:r>
        <w:rPr>
          <w:rFonts w:ascii="Arial" w:eastAsia="Times New Roman" w:hAnsi="Arial" w:cs="Arial"/>
          <w:color w:val="29394A"/>
          <w:kern w:val="0"/>
          <w:sz w:val="18"/>
          <w:szCs w:val="18"/>
          <w14:ligatures w14:val="none"/>
        </w:rPr>
        <w:t>30</w:t>
      </w:r>
      <w:r w:rsidRPr="00C4374A">
        <w:rPr>
          <w:rFonts w:ascii="Arial" w:eastAsia="Times New Roman" w:hAnsi="Arial" w:cs="Arial"/>
          <w:color w:val="29394A"/>
          <w:kern w:val="0"/>
          <w:sz w:val="18"/>
          <w:szCs w:val="18"/>
          <w14:ligatures w14:val="none"/>
        </w:rPr>
        <w:t>.</w:t>
      </w:r>
      <w:r>
        <w:rPr>
          <w:rFonts w:ascii="Arial" w:eastAsia="Times New Roman" w:hAnsi="Arial" w:cs="Arial"/>
          <w:color w:val="29394A"/>
          <w:kern w:val="0"/>
          <w:sz w:val="18"/>
          <w:szCs w:val="18"/>
          <w14:ligatures w14:val="none"/>
        </w:rPr>
        <w:t xml:space="preserve"> Provider ID# </w:t>
      </w:r>
      <w:r w:rsidR="00ED57F5">
        <w:rPr>
          <w:rFonts w:ascii="Arial" w:eastAsia="Times New Roman" w:hAnsi="Arial" w:cs="Arial"/>
          <w:color w:val="29394A"/>
          <w:kern w:val="0"/>
          <w:sz w:val="18"/>
          <w:szCs w:val="18"/>
          <w14:ligatures w14:val="none"/>
        </w:rPr>
        <w:t>410714</w:t>
      </w:r>
    </w:p>
    <w:p w14:paraId="33848AC4" w14:textId="77777777" w:rsidR="00C4374A" w:rsidRPr="00C4374A" w:rsidRDefault="00C4374A" w:rsidP="00C4374A">
      <w:pPr>
        <w:spacing w:after="0" w:line="240" w:lineRule="auto"/>
        <w:textAlignment w:val="baseline"/>
        <w:rPr>
          <w:rFonts w:ascii="Helvetica" w:eastAsia="Times New Roman" w:hAnsi="Helvetica" w:cs="Helvetica"/>
          <w:color w:val="333333"/>
          <w:kern w:val="0"/>
          <w14:ligatures w14:val="none"/>
        </w:rPr>
      </w:pPr>
      <w:r w:rsidRPr="00C4374A">
        <w:rPr>
          <w:rFonts w:ascii="Helvetica" w:eastAsia="Times New Roman" w:hAnsi="Helvetica" w:cs="Helvetica"/>
          <w:noProof/>
          <w:color w:val="333333"/>
          <w:kern w:val="0"/>
          <w14:ligatures w14:val="none"/>
        </w:rPr>
        <w:drawing>
          <wp:inline distT="0" distB="0" distL="0" distR="0" wp14:anchorId="28A7998B" wp14:editId="40BA3E77">
            <wp:extent cx="1428750" cy="695325"/>
            <wp:effectExtent l="0" t="0" r="0" b="9525"/>
            <wp:docPr id="2" name="Picture 1" descr="PACE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CE Program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8750" cy="695325"/>
                    </a:xfrm>
                    <a:prstGeom prst="rect">
                      <a:avLst/>
                    </a:prstGeom>
                    <a:noFill/>
                    <a:ln>
                      <a:noFill/>
                    </a:ln>
                  </pic:spPr>
                </pic:pic>
              </a:graphicData>
            </a:graphic>
          </wp:inline>
        </w:drawing>
      </w:r>
    </w:p>
    <w:p w14:paraId="4DFC9127" w14:textId="77777777" w:rsidR="00C67B1F" w:rsidRPr="00FB7A36" w:rsidRDefault="00C67B1F" w:rsidP="005A272D">
      <w:pPr>
        <w:rPr>
          <w:b/>
          <w:bCs/>
        </w:rPr>
      </w:pPr>
    </w:p>
    <w:p w14:paraId="2B6A6082" w14:textId="77777777" w:rsidR="005A272D" w:rsidRPr="005A272D" w:rsidRDefault="005A272D" w:rsidP="005A272D">
      <w:pPr>
        <w:jc w:val="center"/>
      </w:pPr>
    </w:p>
    <w:sectPr w:rsidR="005A272D" w:rsidRPr="005A27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78F"/>
    <w:multiLevelType w:val="multilevel"/>
    <w:tmpl w:val="0AE8D5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0298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72D"/>
    <w:rsid w:val="001130A7"/>
    <w:rsid w:val="002951E7"/>
    <w:rsid w:val="00400B98"/>
    <w:rsid w:val="005A272D"/>
    <w:rsid w:val="00750275"/>
    <w:rsid w:val="00906C29"/>
    <w:rsid w:val="009565D1"/>
    <w:rsid w:val="00A1616D"/>
    <w:rsid w:val="00AB4FB6"/>
    <w:rsid w:val="00C4374A"/>
    <w:rsid w:val="00C67B1F"/>
    <w:rsid w:val="00DE5A49"/>
    <w:rsid w:val="00ED57F5"/>
    <w:rsid w:val="00FB7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2968F"/>
  <w15:chartTrackingRefBased/>
  <w15:docId w15:val="{2F6F89F8-BAE3-461E-AC72-ED3C7029F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2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2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2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2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2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2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2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2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2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2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2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2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2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2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2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2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2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272D"/>
    <w:rPr>
      <w:rFonts w:eastAsiaTheme="majorEastAsia" w:cstheme="majorBidi"/>
      <w:color w:val="272727" w:themeColor="text1" w:themeTint="D8"/>
    </w:rPr>
  </w:style>
  <w:style w:type="paragraph" w:styleId="Title">
    <w:name w:val="Title"/>
    <w:basedOn w:val="Normal"/>
    <w:next w:val="Normal"/>
    <w:link w:val="TitleChar"/>
    <w:uiPriority w:val="10"/>
    <w:qFormat/>
    <w:rsid w:val="005A2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2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2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272D"/>
    <w:pPr>
      <w:spacing w:before="160"/>
      <w:jc w:val="center"/>
    </w:pPr>
    <w:rPr>
      <w:i/>
      <w:iCs/>
      <w:color w:val="404040" w:themeColor="text1" w:themeTint="BF"/>
    </w:rPr>
  </w:style>
  <w:style w:type="character" w:customStyle="1" w:styleId="QuoteChar">
    <w:name w:val="Quote Char"/>
    <w:basedOn w:val="DefaultParagraphFont"/>
    <w:link w:val="Quote"/>
    <w:uiPriority w:val="29"/>
    <w:rsid w:val="005A272D"/>
    <w:rPr>
      <w:i/>
      <w:iCs/>
      <w:color w:val="404040" w:themeColor="text1" w:themeTint="BF"/>
    </w:rPr>
  </w:style>
  <w:style w:type="paragraph" w:styleId="ListParagraph">
    <w:name w:val="List Paragraph"/>
    <w:basedOn w:val="Normal"/>
    <w:uiPriority w:val="34"/>
    <w:qFormat/>
    <w:rsid w:val="005A272D"/>
    <w:pPr>
      <w:ind w:left="720"/>
      <w:contextualSpacing/>
    </w:pPr>
  </w:style>
  <w:style w:type="character" w:styleId="IntenseEmphasis">
    <w:name w:val="Intense Emphasis"/>
    <w:basedOn w:val="DefaultParagraphFont"/>
    <w:uiPriority w:val="21"/>
    <w:qFormat/>
    <w:rsid w:val="005A272D"/>
    <w:rPr>
      <w:i/>
      <w:iCs/>
      <w:color w:val="0F4761" w:themeColor="accent1" w:themeShade="BF"/>
    </w:rPr>
  </w:style>
  <w:style w:type="paragraph" w:styleId="IntenseQuote">
    <w:name w:val="Intense Quote"/>
    <w:basedOn w:val="Normal"/>
    <w:next w:val="Normal"/>
    <w:link w:val="IntenseQuoteChar"/>
    <w:uiPriority w:val="30"/>
    <w:qFormat/>
    <w:rsid w:val="005A2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272D"/>
    <w:rPr>
      <w:i/>
      <w:iCs/>
      <w:color w:val="0F4761" w:themeColor="accent1" w:themeShade="BF"/>
    </w:rPr>
  </w:style>
  <w:style w:type="character" w:styleId="IntenseReference">
    <w:name w:val="Intense Reference"/>
    <w:basedOn w:val="DefaultParagraphFont"/>
    <w:uiPriority w:val="32"/>
    <w:qFormat/>
    <w:rsid w:val="005A27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ada.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a.org/goto/cerp"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374</Words>
  <Characters>2623</Characters>
  <Application>Microsoft Office Word</Application>
  <DocSecurity>0</DocSecurity>
  <Lines>238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Hendrick</dc:creator>
  <cp:keywords/>
  <dc:description/>
  <cp:lastModifiedBy>Lori Hendrick</cp:lastModifiedBy>
  <cp:revision>5</cp:revision>
  <dcterms:created xsi:type="dcterms:W3CDTF">2026-07-31T13:21:00Z</dcterms:created>
  <dcterms:modified xsi:type="dcterms:W3CDTF">2026-07-31T13:53:00Z</dcterms:modified>
</cp:coreProperties>
</file>